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24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39256C" w:rsidRPr="00FB27E7" w14:paraId="01F75C7E" w14:textId="77777777" w:rsidTr="00425664">
        <w:trPr>
          <w:trHeight w:val="1812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5CBBB560" w14:textId="77777777" w:rsidR="0039256C" w:rsidRPr="00FB27E7" w:rsidRDefault="0039256C" w:rsidP="00425664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282A11CC" w14:textId="77777777" w:rsidR="0039256C" w:rsidRPr="00FB27E7" w:rsidRDefault="0039256C" w:rsidP="00425664">
            <w:pPr>
              <w:rPr>
                <w:rFonts w:ascii="Century" w:hAnsi="Century"/>
                <w:sz w:val="16"/>
                <w:szCs w:val="16"/>
              </w:rPr>
            </w:pPr>
            <w:r w:rsidRPr="00FB27E7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351B2B10" wp14:editId="6E4FC7F2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9847E" w14:textId="77777777" w:rsidR="0039256C" w:rsidRPr="00FB27E7" w:rsidRDefault="0039256C" w:rsidP="00425664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7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F5CB742" w14:textId="77777777" w:rsidR="0039256C" w:rsidRPr="00FB27E7" w:rsidRDefault="0039256C" w:rsidP="00425664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12EF1E98" w14:textId="77777777" w:rsidR="0039256C" w:rsidRPr="00FB27E7" w:rsidRDefault="0039256C" w:rsidP="00425664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FB27E7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7A7568DC" w14:textId="77777777" w:rsidR="0039256C" w:rsidRPr="00FB27E7" w:rsidRDefault="0039256C" w:rsidP="00425664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FB27E7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0544B03E" w14:textId="77777777" w:rsidR="0039256C" w:rsidRPr="00FB27E7" w:rsidRDefault="0039256C" w:rsidP="00425664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FB27E7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3729F8CA" w14:textId="77777777" w:rsidR="0039256C" w:rsidRPr="00FB27E7" w:rsidRDefault="0039256C" w:rsidP="00425664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FB27E7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FB27E7">
              <w:rPr>
                <w:rFonts w:ascii="Cambria" w:hAnsi="Cambria" w:cs="Cambria"/>
                <w:b/>
                <w:sz w:val="16"/>
                <w:szCs w:val="16"/>
              </w:rPr>
              <w:t>Ț</w:t>
            </w:r>
            <w:r w:rsidRPr="00FB27E7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FB27E7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603A350C" w14:textId="77777777" w:rsidR="0039256C" w:rsidRPr="00FB27E7" w:rsidRDefault="0039256C" w:rsidP="004256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proofErr w:type="spellStart"/>
            <w:r w:rsidRPr="00FB27E7">
              <w:rPr>
                <w:rFonts w:ascii="Century" w:hAnsi="Century"/>
                <w:sz w:val="16"/>
                <w:szCs w:val="16"/>
              </w:rPr>
              <w:t>Judeţul</w:t>
            </w:r>
            <w:proofErr w:type="spellEnd"/>
            <w:r w:rsidRPr="00FB27E7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FB27E7">
              <w:rPr>
                <w:rFonts w:ascii="Century" w:hAnsi="Century"/>
                <w:sz w:val="16"/>
                <w:szCs w:val="16"/>
              </w:rPr>
              <w:t>Timiş</w:t>
            </w:r>
            <w:proofErr w:type="spellEnd"/>
            <w:r w:rsidRPr="00FB27E7">
              <w:rPr>
                <w:rFonts w:ascii="Century" w:hAnsi="Century"/>
                <w:sz w:val="16"/>
                <w:szCs w:val="16"/>
              </w:rPr>
              <w:t xml:space="preserve">, 307041, </w:t>
            </w:r>
            <w:proofErr w:type="spellStart"/>
            <w:r w:rsidRPr="00FB27E7">
              <w:rPr>
                <w:rFonts w:ascii="Century" w:hAnsi="Century"/>
                <w:sz w:val="16"/>
                <w:szCs w:val="16"/>
              </w:rPr>
              <w:t>Dudeştii</w:t>
            </w:r>
            <w:proofErr w:type="spellEnd"/>
            <w:r w:rsidRPr="00FB27E7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FB27E7">
              <w:rPr>
                <w:rFonts w:ascii="Century" w:hAnsi="Century"/>
                <w:sz w:val="16"/>
                <w:szCs w:val="16"/>
              </w:rPr>
              <w:t>Noi</w:t>
            </w:r>
            <w:proofErr w:type="spellEnd"/>
            <w:r w:rsidRPr="00FB27E7">
              <w:rPr>
                <w:rFonts w:ascii="Century" w:hAnsi="Century"/>
                <w:sz w:val="16"/>
                <w:szCs w:val="16"/>
              </w:rPr>
              <w:t xml:space="preserve">, </w:t>
            </w:r>
            <w:proofErr w:type="spellStart"/>
            <w:r w:rsidRPr="00FB27E7">
              <w:rPr>
                <w:rFonts w:ascii="Century" w:hAnsi="Century"/>
                <w:sz w:val="16"/>
                <w:szCs w:val="16"/>
              </w:rPr>
              <w:t>Calea</w:t>
            </w:r>
            <w:proofErr w:type="spellEnd"/>
            <w:r w:rsidRPr="00FB27E7">
              <w:rPr>
                <w:rFonts w:ascii="Century" w:hAnsi="Century"/>
                <w:sz w:val="16"/>
                <w:szCs w:val="16"/>
              </w:rPr>
              <w:t xml:space="preserve"> </w:t>
            </w:r>
            <w:proofErr w:type="spellStart"/>
            <w:r w:rsidRPr="00FB27E7">
              <w:rPr>
                <w:rFonts w:ascii="Century" w:hAnsi="Century"/>
                <w:sz w:val="16"/>
                <w:szCs w:val="16"/>
              </w:rPr>
              <w:t>Becicherecului</w:t>
            </w:r>
            <w:proofErr w:type="spellEnd"/>
            <w:r w:rsidRPr="00FB27E7">
              <w:rPr>
                <w:rFonts w:ascii="Century" w:hAnsi="Century"/>
                <w:sz w:val="16"/>
                <w:szCs w:val="16"/>
              </w:rPr>
              <w:t>, nr. 29</w:t>
            </w:r>
          </w:p>
          <w:p w14:paraId="3411FB21" w14:textId="77777777" w:rsidR="0039256C" w:rsidRPr="00FB27E7" w:rsidRDefault="0039256C" w:rsidP="004256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 w:rsidRPr="00FB27E7">
              <w:rPr>
                <w:rFonts w:ascii="Century" w:hAnsi="Century"/>
                <w:sz w:val="16"/>
                <w:szCs w:val="16"/>
                <w:lang w:val="de-DE"/>
              </w:rPr>
              <w:t>Tel. 0256/378020, e-fax 0356/880197</w:t>
            </w:r>
          </w:p>
          <w:p w14:paraId="30DBFECD" w14:textId="77777777" w:rsidR="0039256C" w:rsidRPr="00FB27E7" w:rsidRDefault="0039256C" w:rsidP="00425664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 w:rsidRPr="00FB27E7"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02CAC1D6" w14:textId="77777777" w:rsidR="0039256C" w:rsidRPr="00FB27E7" w:rsidRDefault="0039256C" w:rsidP="00425664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FB27E7"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77AED88" w14:textId="77777777" w:rsidR="0039256C" w:rsidRPr="00FB27E7" w:rsidRDefault="0039256C" w:rsidP="00425664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FB27E7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05B68588" wp14:editId="462D5433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40F57" w14:textId="77777777" w:rsidR="0039256C" w:rsidRPr="00FB27E7" w:rsidRDefault="0039256C" w:rsidP="0039256C">
      <w:pPr>
        <w:rPr>
          <w:rFonts w:ascii="Century" w:hAnsi="Century"/>
          <w:sz w:val="16"/>
          <w:szCs w:val="16"/>
        </w:rPr>
      </w:pPr>
    </w:p>
    <w:p w14:paraId="75ED2D9C" w14:textId="2CF89892" w:rsidR="0039256C" w:rsidRPr="003A282F" w:rsidRDefault="0039256C" w:rsidP="0039256C">
      <w:pPr>
        <w:pStyle w:val="BodyText"/>
        <w:jc w:val="left"/>
        <w:rPr>
          <w:rFonts w:ascii="Century" w:hAnsi="Century"/>
          <w:bCs/>
          <w:sz w:val="28"/>
          <w:szCs w:val="28"/>
          <w:lang w:val="fr-FR"/>
        </w:rPr>
      </w:pPr>
      <w:r w:rsidRPr="003A282F">
        <w:rPr>
          <w:rFonts w:ascii="Century" w:hAnsi="Century" w:cs="Times New Roman"/>
          <w:bCs/>
          <w:sz w:val="32"/>
          <w:szCs w:val="32"/>
          <w:lang w:val="ro-RO"/>
        </w:rPr>
        <w:t xml:space="preserve">    </w:t>
      </w:r>
      <w:r w:rsidR="003E2BF8" w:rsidRPr="003A282F">
        <w:rPr>
          <w:rFonts w:ascii="Century" w:hAnsi="Century" w:cs="Times New Roman"/>
          <w:bCs/>
          <w:sz w:val="32"/>
          <w:szCs w:val="32"/>
          <w:lang w:val="ro-RO"/>
        </w:rPr>
        <w:t xml:space="preserve">    </w:t>
      </w:r>
      <w:r w:rsidRPr="003A282F">
        <w:rPr>
          <w:rFonts w:ascii="Century" w:hAnsi="Century" w:cs="Times New Roman"/>
          <w:bCs/>
          <w:sz w:val="32"/>
          <w:szCs w:val="32"/>
          <w:lang w:val="ro-RO"/>
        </w:rPr>
        <w:t xml:space="preserve"> </w:t>
      </w:r>
      <w:r w:rsidRPr="003A282F">
        <w:rPr>
          <w:rFonts w:ascii="Century" w:hAnsi="Century" w:cs="Times New Roman"/>
          <w:bCs/>
          <w:sz w:val="28"/>
          <w:szCs w:val="28"/>
          <w:lang w:val="ro-RO"/>
        </w:rPr>
        <w:t>Î</w:t>
      </w:r>
      <w:r w:rsidRPr="003A282F">
        <w:rPr>
          <w:rFonts w:ascii="Century" w:hAnsi="Century" w:cs="Times New Roman"/>
          <w:bCs/>
          <w:sz w:val="28"/>
          <w:szCs w:val="28"/>
          <w:lang w:val="fr-FR"/>
        </w:rPr>
        <w:t xml:space="preserve">n </w:t>
      </w:r>
      <w:proofErr w:type="spellStart"/>
      <w:r w:rsidRPr="003A282F">
        <w:rPr>
          <w:rFonts w:ascii="Century" w:hAnsi="Century" w:cs="Times New Roman"/>
          <w:bCs/>
          <w:sz w:val="28"/>
          <w:szCs w:val="28"/>
          <w:lang w:val="fr-FR"/>
        </w:rPr>
        <w:t>atenţia</w:t>
      </w:r>
      <w:proofErr w:type="spellEnd"/>
      <w:r w:rsidRPr="003A282F">
        <w:rPr>
          <w:rFonts w:ascii="Century" w:hAnsi="Century" w:cs="Times New Roman"/>
          <w:bCs/>
          <w:sz w:val="28"/>
          <w:szCs w:val="28"/>
          <w:lang w:val="fr-FR"/>
        </w:rPr>
        <w:t xml:space="preserve"> </w:t>
      </w:r>
      <w:proofErr w:type="spellStart"/>
      <w:r w:rsidRPr="003A282F">
        <w:rPr>
          <w:rFonts w:ascii="Century" w:hAnsi="Century" w:cs="Times New Roman"/>
          <w:bCs/>
          <w:sz w:val="28"/>
          <w:szCs w:val="28"/>
          <w:lang w:val="fr-FR"/>
        </w:rPr>
        <w:t>cetăţenilor</w:t>
      </w:r>
      <w:proofErr w:type="spellEnd"/>
      <w:r w:rsidRPr="003A282F">
        <w:rPr>
          <w:rFonts w:ascii="Century" w:hAnsi="Century" w:cs="Times New Roman"/>
          <w:bCs/>
          <w:sz w:val="28"/>
          <w:szCs w:val="28"/>
          <w:lang w:val="fr-FR"/>
        </w:rPr>
        <w:t xml:space="preserve"> care se </w:t>
      </w:r>
      <w:proofErr w:type="spellStart"/>
      <w:r w:rsidRPr="003A282F">
        <w:rPr>
          <w:rFonts w:ascii="Century" w:hAnsi="Century" w:cs="Times New Roman"/>
          <w:bCs/>
          <w:sz w:val="28"/>
          <w:szCs w:val="28"/>
          <w:lang w:val="fr-FR"/>
        </w:rPr>
        <w:t>adresează</w:t>
      </w:r>
      <w:proofErr w:type="spellEnd"/>
      <w:r w:rsidRPr="003A282F">
        <w:rPr>
          <w:rFonts w:ascii="Century" w:hAnsi="Century" w:cs="Times New Roman"/>
          <w:bCs/>
          <w:sz w:val="28"/>
          <w:szCs w:val="28"/>
          <w:lang w:val="fr-FR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fr-FR"/>
        </w:rPr>
        <w:t>serviciului</w:t>
      </w:r>
      <w:proofErr w:type="spellEnd"/>
      <w:r w:rsidRPr="003A282F">
        <w:rPr>
          <w:rFonts w:ascii="Century" w:hAnsi="Century"/>
          <w:bCs/>
          <w:sz w:val="28"/>
          <w:szCs w:val="28"/>
          <w:lang w:val="fr-FR"/>
        </w:rPr>
        <w:t xml:space="preserve"> </w:t>
      </w:r>
    </w:p>
    <w:p w14:paraId="1E984468" w14:textId="49B5E163" w:rsidR="0039256C" w:rsidRPr="003A282F" w:rsidRDefault="0039256C" w:rsidP="0039256C">
      <w:pPr>
        <w:pStyle w:val="BodyText"/>
        <w:jc w:val="left"/>
        <w:rPr>
          <w:rFonts w:ascii="Century" w:hAnsi="Century"/>
          <w:bCs/>
          <w:sz w:val="28"/>
          <w:szCs w:val="28"/>
          <w:lang w:val="ro-RO"/>
        </w:rPr>
      </w:pPr>
      <w:r w:rsidRPr="003A282F">
        <w:rPr>
          <w:rFonts w:ascii="Century" w:hAnsi="Century"/>
          <w:bCs/>
          <w:sz w:val="28"/>
          <w:szCs w:val="28"/>
          <w:lang w:val="fr-FR"/>
        </w:rPr>
        <w:t xml:space="preserve">          </w:t>
      </w:r>
      <w:r w:rsidR="003E2BF8" w:rsidRPr="003A282F">
        <w:rPr>
          <w:rFonts w:ascii="Century" w:hAnsi="Century"/>
          <w:bCs/>
          <w:sz w:val="28"/>
          <w:szCs w:val="28"/>
          <w:lang w:val="fr-FR"/>
        </w:rPr>
        <w:t xml:space="preserve">        </w:t>
      </w:r>
      <w:r w:rsidRPr="003A282F">
        <w:rPr>
          <w:rFonts w:ascii="Century" w:hAnsi="Century"/>
          <w:bCs/>
          <w:sz w:val="28"/>
          <w:szCs w:val="28"/>
          <w:lang w:val="fr-FR"/>
        </w:rPr>
        <w:t xml:space="preserve"> </w:t>
      </w:r>
      <w:proofErr w:type="gramStart"/>
      <w:r w:rsidRPr="003A282F">
        <w:rPr>
          <w:rFonts w:ascii="Century" w:hAnsi="Century"/>
          <w:bCs/>
          <w:sz w:val="28"/>
          <w:szCs w:val="28"/>
          <w:lang w:val="fr-FR"/>
        </w:rPr>
        <w:t>public</w:t>
      </w:r>
      <w:proofErr w:type="gramEnd"/>
      <w:r w:rsidRPr="003A282F">
        <w:rPr>
          <w:rFonts w:ascii="Century" w:hAnsi="Century"/>
          <w:bCs/>
          <w:sz w:val="28"/>
          <w:szCs w:val="28"/>
          <w:lang w:val="fr-FR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fr-FR"/>
        </w:rPr>
        <w:t>comunitar</w:t>
      </w:r>
      <w:proofErr w:type="spellEnd"/>
      <w:r w:rsidRPr="003A282F">
        <w:rPr>
          <w:rFonts w:ascii="Century" w:hAnsi="Century"/>
          <w:bCs/>
          <w:sz w:val="28"/>
          <w:szCs w:val="28"/>
          <w:lang w:val="fr-FR"/>
        </w:rPr>
        <w:t xml:space="preserve"> de </w:t>
      </w:r>
      <w:proofErr w:type="spellStart"/>
      <w:r w:rsidRPr="003A282F">
        <w:rPr>
          <w:rFonts w:ascii="Century" w:hAnsi="Century"/>
          <w:bCs/>
          <w:sz w:val="28"/>
          <w:szCs w:val="28"/>
          <w:lang w:val="fr-FR"/>
        </w:rPr>
        <w:t>eviden</w:t>
      </w:r>
      <w:r w:rsidRPr="003A282F">
        <w:rPr>
          <w:rFonts w:ascii="Century" w:hAnsi="Century"/>
          <w:bCs/>
          <w:sz w:val="28"/>
          <w:szCs w:val="28"/>
          <w:lang w:val="ro-RO"/>
        </w:rPr>
        <w:t>ţă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a persoanelor</w:t>
      </w:r>
    </w:p>
    <w:p w14:paraId="548AA8F7" w14:textId="77777777" w:rsidR="00D9352E" w:rsidRPr="003A282F" w:rsidRDefault="00D9352E" w:rsidP="0039256C">
      <w:pPr>
        <w:pStyle w:val="BodyText"/>
        <w:jc w:val="left"/>
        <w:rPr>
          <w:rFonts w:ascii="Century" w:hAnsi="Century"/>
          <w:bCs/>
          <w:sz w:val="28"/>
          <w:szCs w:val="28"/>
          <w:lang w:val="ro-RO"/>
        </w:rPr>
      </w:pPr>
    </w:p>
    <w:p w14:paraId="3EC00D88" w14:textId="77777777" w:rsidR="003E2BF8" w:rsidRPr="003A282F" w:rsidRDefault="0039256C" w:rsidP="009F4C3F">
      <w:pPr>
        <w:pStyle w:val="BodyText"/>
        <w:ind w:firstLine="720"/>
        <w:jc w:val="both"/>
        <w:rPr>
          <w:rFonts w:ascii="Century" w:hAnsi="Century"/>
          <w:bCs/>
          <w:sz w:val="28"/>
          <w:szCs w:val="28"/>
          <w:lang w:val="ro-RO"/>
        </w:rPr>
      </w:pP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Dispoziţiile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art. 321 alin. (1) din noul Cod Civil stabilesc norme privind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locuinţa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familiei, în sensul că aceasta este </w:t>
      </w:r>
    </w:p>
    <w:p w14:paraId="5285184E" w14:textId="48E971D0" w:rsidR="0039256C" w:rsidRPr="003A282F" w:rsidRDefault="0039256C" w:rsidP="009F4C3F">
      <w:pPr>
        <w:pStyle w:val="BodyText"/>
        <w:jc w:val="both"/>
        <w:rPr>
          <w:rFonts w:ascii="Century" w:hAnsi="Century"/>
          <w:bCs/>
          <w:sz w:val="28"/>
          <w:szCs w:val="28"/>
          <w:lang w:val="en-US"/>
        </w:rPr>
      </w:pPr>
      <w:proofErr w:type="gramStart"/>
      <w:r w:rsidRPr="003A282F">
        <w:rPr>
          <w:rFonts w:ascii="Century" w:hAnsi="Century"/>
          <w:bCs/>
          <w:sz w:val="28"/>
          <w:szCs w:val="28"/>
          <w:lang w:val="en-US"/>
        </w:rPr>
        <w:t xml:space="preserve">“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locuinţa</w:t>
      </w:r>
      <w:proofErr w:type="spellEnd"/>
      <w:proofErr w:type="gram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comună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soţilor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sau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lipsă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locuinţa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soţului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la care se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află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copiii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”. </w:t>
      </w:r>
    </w:p>
    <w:p w14:paraId="57024FF6" w14:textId="77777777" w:rsidR="0039256C" w:rsidRPr="003A282F" w:rsidRDefault="0039256C" w:rsidP="009F4C3F">
      <w:pPr>
        <w:pStyle w:val="BodyText"/>
        <w:ind w:firstLine="720"/>
        <w:jc w:val="both"/>
        <w:rPr>
          <w:rFonts w:ascii="Century" w:hAnsi="Century"/>
          <w:bCs/>
          <w:sz w:val="28"/>
          <w:szCs w:val="28"/>
          <w:lang w:val="en-US"/>
        </w:rPr>
      </w:pPr>
      <w:r w:rsidRPr="003A282F">
        <w:rPr>
          <w:rFonts w:ascii="Century" w:hAnsi="Century"/>
          <w:bCs/>
          <w:sz w:val="28"/>
          <w:szCs w:val="28"/>
          <w:lang w:val="ro-RO"/>
        </w:rPr>
        <w:t xml:space="preserve">În context,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reţine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atenţia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şi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faptul că, potrivit alin. (2) al art. 321</w:t>
      </w:r>
      <w:r w:rsidRPr="003A282F">
        <w:rPr>
          <w:rFonts w:ascii="Century" w:hAnsi="Century"/>
          <w:bCs/>
          <w:sz w:val="28"/>
          <w:szCs w:val="28"/>
          <w:lang w:val="en-US"/>
        </w:rPr>
        <w:t>:</w:t>
      </w:r>
      <w:r w:rsidRPr="003A282F">
        <w:rPr>
          <w:rFonts w:ascii="Century" w:hAnsi="Century"/>
          <w:bCs/>
          <w:sz w:val="28"/>
          <w:szCs w:val="28"/>
          <w:lang w:val="ro-RO"/>
        </w:rPr>
        <w:t xml:space="preserve"> </w:t>
      </w:r>
      <w:r w:rsidRPr="003A282F">
        <w:rPr>
          <w:rFonts w:ascii="Century" w:hAnsi="Century"/>
          <w:bCs/>
          <w:sz w:val="28"/>
          <w:szCs w:val="28"/>
          <w:lang w:val="en-US"/>
        </w:rPr>
        <w:t xml:space="preserve">“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Oricare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dintre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poate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cere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notarea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cartea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funciară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condiţiile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legii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unui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imobil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locuinţă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familiei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chiar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dacă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este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proprietarul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imobilului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.”</w:t>
      </w:r>
    </w:p>
    <w:p w14:paraId="0EC2723A" w14:textId="68D3F37E" w:rsidR="0039256C" w:rsidRPr="003A282F" w:rsidRDefault="0039256C" w:rsidP="009F4C3F">
      <w:pPr>
        <w:pStyle w:val="BodyText"/>
        <w:ind w:firstLine="720"/>
        <w:jc w:val="both"/>
        <w:rPr>
          <w:rFonts w:ascii="Century" w:hAnsi="Century"/>
          <w:bCs/>
          <w:sz w:val="28"/>
          <w:szCs w:val="28"/>
          <w:lang w:val="en-US"/>
        </w:rPr>
      </w:pPr>
      <w:r w:rsidRPr="003A282F">
        <w:rPr>
          <w:rFonts w:ascii="Century" w:hAnsi="Century"/>
          <w:bCs/>
          <w:sz w:val="28"/>
          <w:szCs w:val="28"/>
          <w:lang w:val="en-US"/>
        </w:rPr>
        <w:t xml:space="preserve">Art. 322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alin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. </w:t>
      </w:r>
      <w:r w:rsidRPr="003A282F">
        <w:rPr>
          <w:rFonts w:ascii="Century" w:hAnsi="Century"/>
          <w:bCs/>
          <w:sz w:val="28"/>
          <w:szCs w:val="28"/>
          <w:lang w:val="ro-RO"/>
        </w:rPr>
        <w:t xml:space="preserve">(1) din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acelaşi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act normativ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stabileşte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că </w:t>
      </w:r>
      <w:r w:rsidRPr="003A282F">
        <w:rPr>
          <w:rFonts w:ascii="Century" w:hAnsi="Century"/>
          <w:bCs/>
          <w:sz w:val="28"/>
          <w:szCs w:val="28"/>
          <w:lang w:val="en-US"/>
        </w:rPr>
        <w:t xml:space="preserve">“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Fără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consimţământul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scris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al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celuilalt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niciunul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dintre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ch</w:t>
      </w:r>
      <w:r w:rsidR="003E2BF8" w:rsidRPr="003A282F">
        <w:rPr>
          <w:rFonts w:ascii="Century" w:hAnsi="Century"/>
          <w:bCs/>
          <w:sz w:val="28"/>
          <w:szCs w:val="28"/>
          <w:lang w:val="en-US"/>
        </w:rPr>
        <w:t>i</w:t>
      </w:r>
      <w:r w:rsidRPr="003A282F">
        <w:rPr>
          <w:rFonts w:ascii="Century" w:hAnsi="Century"/>
          <w:bCs/>
          <w:sz w:val="28"/>
          <w:szCs w:val="28"/>
          <w:lang w:val="en-US"/>
        </w:rPr>
        <w:t>ar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dacă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este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proprietar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exclusiv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poate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dispune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de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drepturile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asupra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locuinţei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familiei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şi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nici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poate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încheia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acte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prin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care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fi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afectată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folosinţa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acesteia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>”.</w:t>
      </w:r>
    </w:p>
    <w:p w14:paraId="7CB73272" w14:textId="27588E06" w:rsidR="003A508E" w:rsidRPr="003A282F" w:rsidRDefault="003A508E" w:rsidP="009F4C3F">
      <w:pPr>
        <w:pStyle w:val="BodyText"/>
        <w:ind w:firstLine="720"/>
        <w:jc w:val="both"/>
        <w:rPr>
          <w:rFonts w:ascii="Century" w:hAnsi="Century"/>
          <w:bCs/>
          <w:sz w:val="28"/>
          <w:szCs w:val="28"/>
          <w:lang w:val="en-US"/>
        </w:rPr>
      </w:pPr>
      <w:r w:rsidRPr="003A282F">
        <w:rPr>
          <w:rFonts w:ascii="Century" w:hAnsi="Century"/>
          <w:bCs/>
          <w:sz w:val="28"/>
          <w:szCs w:val="28"/>
          <w:lang w:val="en-US"/>
        </w:rPr>
        <w:t xml:space="preserve">De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asemenea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conform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prevederilor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A282F">
        <w:rPr>
          <w:rFonts w:ascii="Century" w:hAnsi="Century"/>
          <w:bCs/>
          <w:sz w:val="28"/>
          <w:szCs w:val="28"/>
          <w:lang w:val="en-US"/>
        </w:rPr>
        <w:t>alin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>.</w:t>
      </w:r>
      <w:r w:rsidRPr="003A282F">
        <w:rPr>
          <w:rFonts w:ascii="Century" w:hAnsi="Century"/>
          <w:bCs/>
          <w:sz w:val="28"/>
          <w:szCs w:val="28"/>
          <w:lang w:val="ro-RO"/>
        </w:rPr>
        <w:t>(</w:t>
      </w:r>
      <w:proofErr w:type="gramEnd"/>
      <w:r w:rsidRPr="003A282F">
        <w:rPr>
          <w:rFonts w:ascii="Century" w:hAnsi="Century"/>
          <w:bCs/>
          <w:sz w:val="28"/>
          <w:szCs w:val="28"/>
          <w:lang w:val="ro-RO"/>
        </w:rPr>
        <w:t>4</w:t>
      </w:r>
      <w:r w:rsidRPr="003A282F">
        <w:rPr>
          <w:rFonts w:ascii="Century" w:hAnsi="Century"/>
          <w:bCs/>
          <w:sz w:val="28"/>
          <w:szCs w:val="28"/>
          <w:lang w:val="ro-RO"/>
        </w:rPr>
        <w:t>)</w:t>
      </w:r>
      <w:r w:rsidRPr="003A282F">
        <w:rPr>
          <w:rFonts w:ascii="Century" w:hAnsi="Century"/>
          <w:bCs/>
          <w:sz w:val="28"/>
          <w:szCs w:val="28"/>
          <w:lang w:val="ro-RO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ro-RO"/>
        </w:rPr>
        <w:t>şi</w:t>
      </w:r>
      <w:proofErr w:type="spellEnd"/>
      <w:r w:rsidRPr="003A282F">
        <w:rPr>
          <w:rFonts w:ascii="Century" w:hAnsi="Century"/>
          <w:bCs/>
          <w:sz w:val="28"/>
          <w:szCs w:val="28"/>
          <w:lang w:val="ro-RO"/>
        </w:rPr>
        <w:t xml:space="preserve"> </w:t>
      </w:r>
      <w:r w:rsidRPr="003A282F">
        <w:rPr>
          <w:rFonts w:ascii="Century" w:hAnsi="Century"/>
          <w:bCs/>
          <w:sz w:val="28"/>
          <w:szCs w:val="28"/>
          <w:lang w:val="ro-RO"/>
        </w:rPr>
        <w:t>(</w:t>
      </w:r>
      <w:r w:rsidRPr="003A282F">
        <w:rPr>
          <w:rFonts w:ascii="Century" w:hAnsi="Century"/>
          <w:bCs/>
          <w:sz w:val="28"/>
          <w:szCs w:val="28"/>
          <w:lang w:val="ro-RO"/>
        </w:rPr>
        <w:t>5</w:t>
      </w:r>
      <w:r w:rsidRPr="003A282F">
        <w:rPr>
          <w:rFonts w:ascii="Century" w:hAnsi="Century"/>
          <w:bCs/>
          <w:sz w:val="28"/>
          <w:szCs w:val="28"/>
          <w:lang w:val="ro-RO"/>
        </w:rPr>
        <w:t>)</w:t>
      </w:r>
      <w:r w:rsidRPr="003A282F">
        <w:rPr>
          <w:rFonts w:ascii="Century" w:hAnsi="Century"/>
          <w:bCs/>
          <w:sz w:val="28"/>
          <w:szCs w:val="28"/>
          <w:lang w:val="ro-RO"/>
        </w:rPr>
        <w:t xml:space="preserve"> ale art. 322</w:t>
      </w:r>
      <w:r w:rsidRPr="003A282F">
        <w:rPr>
          <w:rFonts w:ascii="Century" w:hAnsi="Century"/>
          <w:bCs/>
          <w:sz w:val="28"/>
          <w:szCs w:val="28"/>
          <w:lang w:val="en-US"/>
        </w:rPr>
        <w:t>:</w:t>
      </w:r>
      <w:r w:rsidR="003E2BF8"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r w:rsidRPr="003A282F">
        <w:rPr>
          <w:rFonts w:ascii="Century" w:hAnsi="Century"/>
          <w:bCs/>
          <w:sz w:val="28"/>
          <w:szCs w:val="28"/>
          <w:lang w:val="en-US"/>
        </w:rPr>
        <w:t>“</w:t>
      </w:r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care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şi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-a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dat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consimţământul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la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încheierea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actului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poate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cere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anularea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termen de un an de la data la care 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luat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cunoştinţă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despre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acesta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dar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mai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târziu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de un an de la data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încetării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regimului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matrimonial</w:t>
      </w:r>
      <w:r w:rsidR="00D9352E"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r w:rsidR="00D9352E" w:rsidRPr="003A282F">
        <w:rPr>
          <w:rFonts w:ascii="Century" w:hAnsi="Century"/>
          <w:bCs/>
          <w:sz w:val="28"/>
          <w:szCs w:val="28"/>
          <w:lang w:val="en-US"/>
        </w:rPr>
        <w:t>”</w:t>
      </w:r>
      <w:r w:rsidRPr="003A282F">
        <w:rPr>
          <w:rFonts w:ascii="Century" w:hAnsi="Century"/>
          <w:bCs/>
          <w:sz w:val="28"/>
          <w:szCs w:val="28"/>
          <w:lang w:val="en-US"/>
        </w:rPr>
        <w:t>.</w:t>
      </w:r>
    </w:p>
    <w:p w14:paraId="56CE5DFB" w14:textId="1C1416CE" w:rsidR="00D9352E" w:rsidRPr="003A282F" w:rsidRDefault="00D9352E" w:rsidP="009F4C3F">
      <w:pPr>
        <w:pStyle w:val="BodyText"/>
        <w:ind w:firstLine="720"/>
        <w:jc w:val="both"/>
        <w:rPr>
          <w:rFonts w:ascii="Century" w:hAnsi="Century"/>
          <w:bCs/>
          <w:sz w:val="28"/>
          <w:szCs w:val="28"/>
          <w:lang w:val="en-US"/>
        </w:rPr>
      </w:pPr>
      <w:proofErr w:type="gramStart"/>
      <w:r w:rsidRPr="003A282F">
        <w:rPr>
          <w:rFonts w:ascii="Century" w:hAnsi="Century"/>
          <w:bCs/>
          <w:sz w:val="28"/>
          <w:szCs w:val="28"/>
          <w:lang w:val="en-US"/>
        </w:rPr>
        <w:t>“</w:t>
      </w:r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proofErr w:type="gram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lipsa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notării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locuinţei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familiei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cartea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funciară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care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şi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-a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dat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consimţământul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nu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poate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cere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anularea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actului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ci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numai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daune-interese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de la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celălalt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soţ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cu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excepţia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cazului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în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care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terţul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dobânditor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cunosc</w:t>
      </w:r>
      <w:r w:rsidR="003E2BF8" w:rsidRPr="003A282F">
        <w:rPr>
          <w:rFonts w:ascii="Century" w:hAnsi="Century"/>
          <w:bCs/>
          <w:sz w:val="28"/>
          <w:szCs w:val="28"/>
          <w:lang w:val="en-US"/>
        </w:rPr>
        <w:t>u</w:t>
      </w:r>
      <w:r w:rsidRPr="003A282F">
        <w:rPr>
          <w:rFonts w:ascii="Century" w:hAnsi="Century"/>
          <w:bCs/>
          <w:sz w:val="28"/>
          <w:szCs w:val="28"/>
          <w:lang w:val="en-US"/>
        </w:rPr>
        <w:t>t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pe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altă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cale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,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calitatea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de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locuinţă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a </w:t>
      </w:r>
      <w:proofErr w:type="spellStart"/>
      <w:r w:rsidRPr="003A282F">
        <w:rPr>
          <w:rFonts w:ascii="Century" w:hAnsi="Century"/>
          <w:bCs/>
          <w:sz w:val="28"/>
          <w:szCs w:val="28"/>
          <w:lang w:val="en-US"/>
        </w:rPr>
        <w:t>familiei</w:t>
      </w:r>
      <w:proofErr w:type="spellEnd"/>
      <w:r w:rsidRPr="003A282F">
        <w:rPr>
          <w:rFonts w:ascii="Century" w:hAnsi="Century"/>
          <w:bCs/>
          <w:sz w:val="28"/>
          <w:szCs w:val="28"/>
          <w:lang w:val="en-US"/>
        </w:rPr>
        <w:t xml:space="preserve"> </w:t>
      </w:r>
      <w:r w:rsidRPr="003A282F">
        <w:rPr>
          <w:rFonts w:ascii="Century" w:hAnsi="Century"/>
          <w:bCs/>
          <w:sz w:val="28"/>
          <w:szCs w:val="28"/>
          <w:lang w:val="en-US"/>
        </w:rPr>
        <w:t>”</w:t>
      </w:r>
      <w:r w:rsidRPr="003A282F">
        <w:rPr>
          <w:rFonts w:ascii="Century" w:hAnsi="Century"/>
          <w:bCs/>
          <w:sz w:val="28"/>
          <w:szCs w:val="28"/>
          <w:lang w:val="en-US"/>
        </w:rPr>
        <w:t>.</w:t>
      </w:r>
    </w:p>
    <w:p w14:paraId="7AE558D8" w14:textId="52898418" w:rsidR="00D9352E" w:rsidRDefault="00D9352E" w:rsidP="009F4C3F">
      <w:pPr>
        <w:pStyle w:val="BodyText"/>
        <w:ind w:firstLine="720"/>
        <w:jc w:val="both"/>
        <w:rPr>
          <w:rFonts w:ascii="Century" w:hAnsi="Century"/>
          <w:b/>
          <w:sz w:val="28"/>
          <w:szCs w:val="28"/>
          <w:lang w:val="en-US"/>
        </w:rPr>
      </w:pP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În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considerarea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dispoziţiilor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legale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enunţate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mai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sus, se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precizează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că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obligativitaea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de </w:t>
      </w:r>
      <w:proofErr w:type="gramStart"/>
      <w:r w:rsidRPr="003E2BF8">
        <w:rPr>
          <w:rFonts w:ascii="Century" w:hAnsi="Century"/>
          <w:b/>
          <w:sz w:val="28"/>
          <w:szCs w:val="28"/>
          <w:lang w:val="en-US"/>
        </w:rPr>
        <w:t>a</w:t>
      </w:r>
      <w:proofErr w:type="gram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Pr="003E2BF8">
        <w:rPr>
          <w:rFonts w:ascii="Century" w:hAnsi="Century"/>
          <w:b/>
          <w:sz w:val="28"/>
          <w:szCs w:val="28"/>
          <w:lang w:val="en-US"/>
        </w:rPr>
        <w:t>informa</w:t>
      </w:r>
      <w:proofErr w:type="spellEnd"/>
      <w:r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funcţionarul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de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eviden</w:t>
      </w:r>
      <w:r w:rsidR="003E2BF8">
        <w:rPr>
          <w:rFonts w:ascii="Century" w:hAnsi="Century"/>
          <w:b/>
          <w:sz w:val="28"/>
          <w:szCs w:val="28"/>
          <w:lang w:val="en-US"/>
        </w:rPr>
        <w:t>ţ</w:t>
      </w:r>
      <w:r w:rsidR="003E2BF8" w:rsidRPr="003E2BF8">
        <w:rPr>
          <w:rFonts w:ascii="Century" w:hAnsi="Century"/>
          <w:b/>
          <w:sz w:val="28"/>
          <w:szCs w:val="28"/>
          <w:lang w:val="en-US"/>
        </w:rPr>
        <w:t>ă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a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persoanelor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cu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privi</w:t>
      </w:r>
      <w:r w:rsidR="003E2BF8">
        <w:rPr>
          <w:rFonts w:ascii="Century" w:hAnsi="Century"/>
          <w:b/>
          <w:sz w:val="28"/>
          <w:szCs w:val="28"/>
          <w:lang w:val="en-US"/>
        </w:rPr>
        <w:t>re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la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faptul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că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imobilul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a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fost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notat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în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cartea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funciară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a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familiei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revine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 w:rsidR="003E2BF8" w:rsidRPr="003E2BF8">
        <w:rPr>
          <w:rFonts w:ascii="Century" w:hAnsi="Century"/>
          <w:b/>
          <w:sz w:val="28"/>
          <w:szCs w:val="28"/>
          <w:lang w:val="en-US"/>
        </w:rPr>
        <w:t>găzduitorului</w:t>
      </w:r>
      <w:proofErr w:type="spellEnd"/>
      <w:r w:rsidR="003E2BF8" w:rsidRPr="003E2BF8">
        <w:rPr>
          <w:rFonts w:ascii="Century" w:hAnsi="Century"/>
          <w:b/>
          <w:sz w:val="28"/>
          <w:szCs w:val="28"/>
          <w:lang w:val="en-US"/>
        </w:rPr>
        <w:t>.</w:t>
      </w:r>
    </w:p>
    <w:p w14:paraId="009D5E52" w14:textId="431957B6" w:rsidR="009F4C3F" w:rsidRDefault="009F4C3F" w:rsidP="009F4C3F">
      <w:pPr>
        <w:pStyle w:val="BodyText"/>
        <w:ind w:firstLine="720"/>
        <w:jc w:val="both"/>
        <w:rPr>
          <w:rFonts w:ascii="Century" w:hAnsi="Century"/>
          <w:b/>
          <w:sz w:val="28"/>
          <w:szCs w:val="28"/>
          <w:lang w:val="en-US"/>
        </w:rPr>
      </w:pPr>
      <w:proofErr w:type="spellStart"/>
      <w:r>
        <w:rPr>
          <w:rFonts w:ascii="Century" w:hAnsi="Century"/>
          <w:b/>
          <w:sz w:val="28"/>
          <w:szCs w:val="28"/>
          <w:lang w:val="en-US"/>
        </w:rPr>
        <w:t>În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situaţia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în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care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imobilul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fost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notificat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în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cartea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funciară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ca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locuinţă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familiei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este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necesar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consimţământul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scris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al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celuilat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soţ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depunerea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cererii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eliberare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Century" w:hAnsi="Century"/>
          <w:b/>
          <w:sz w:val="28"/>
          <w:szCs w:val="28"/>
          <w:lang w:val="en-US"/>
        </w:rPr>
        <w:t>a</w:t>
      </w:r>
      <w:proofErr w:type="gram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actului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identitate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şi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stabilire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 xml:space="preserve"> a </w:t>
      </w:r>
      <w:proofErr w:type="spellStart"/>
      <w:r>
        <w:rPr>
          <w:rFonts w:ascii="Century" w:hAnsi="Century"/>
          <w:b/>
          <w:sz w:val="28"/>
          <w:szCs w:val="28"/>
          <w:lang w:val="en-US"/>
        </w:rPr>
        <w:t>reşedinţei</w:t>
      </w:r>
      <w:proofErr w:type="spellEnd"/>
      <w:r>
        <w:rPr>
          <w:rFonts w:ascii="Century" w:hAnsi="Century"/>
          <w:b/>
          <w:sz w:val="28"/>
          <w:szCs w:val="28"/>
          <w:lang w:val="en-US"/>
        </w:rPr>
        <w:t>.</w:t>
      </w:r>
    </w:p>
    <w:p w14:paraId="6F203048" w14:textId="77777777" w:rsidR="003E2BF8" w:rsidRDefault="003E2BF8" w:rsidP="009F4C3F">
      <w:pPr>
        <w:pStyle w:val="BodyText"/>
        <w:ind w:firstLine="720"/>
        <w:jc w:val="both"/>
        <w:rPr>
          <w:rFonts w:ascii="Century" w:hAnsi="Century"/>
          <w:b/>
          <w:sz w:val="28"/>
          <w:szCs w:val="28"/>
          <w:lang w:val="en-US"/>
        </w:rPr>
      </w:pPr>
    </w:p>
    <w:p w14:paraId="2B5DCF60" w14:textId="77777777" w:rsidR="003E2BF8" w:rsidRDefault="003E2BF8" w:rsidP="009F4C3F">
      <w:pPr>
        <w:pStyle w:val="BodyText"/>
        <w:ind w:firstLine="720"/>
        <w:jc w:val="both"/>
        <w:rPr>
          <w:rFonts w:ascii="Century" w:hAnsi="Century"/>
          <w:b/>
          <w:sz w:val="28"/>
          <w:szCs w:val="28"/>
          <w:lang w:val="en-US"/>
        </w:rPr>
      </w:pPr>
    </w:p>
    <w:sectPr w:rsidR="003E2BF8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6C"/>
    <w:rsid w:val="000501E4"/>
    <w:rsid w:val="0039256C"/>
    <w:rsid w:val="003A282F"/>
    <w:rsid w:val="003A508E"/>
    <w:rsid w:val="003E2BF8"/>
    <w:rsid w:val="00440A53"/>
    <w:rsid w:val="00854368"/>
    <w:rsid w:val="008D41F4"/>
    <w:rsid w:val="009120F2"/>
    <w:rsid w:val="009F4C3F"/>
    <w:rsid w:val="00A456F5"/>
    <w:rsid w:val="00D9352E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AED5"/>
  <w15:chartTrackingRefBased/>
  <w15:docId w15:val="{6A4469D2-0013-49D6-ADC1-A28191FE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256C"/>
    <w:pPr>
      <w:jc w:val="center"/>
    </w:pPr>
    <w:rPr>
      <w:rFonts w:ascii="Tahoma" w:hAnsi="Tahoma" w:cs="Tahoma"/>
      <w:sz w:val="36"/>
      <w:lang w:val="en-GB"/>
    </w:rPr>
  </w:style>
  <w:style w:type="character" w:customStyle="1" w:styleId="BodyTextChar">
    <w:name w:val="Body Text Char"/>
    <w:basedOn w:val="DefaultParagraphFont"/>
    <w:link w:val="BodyText"/>
    <w:rsid w:val="0039256C"/>
    <w:rPr>
      <w:rFonts w:ascii="Tahoma" w:eastAsia="Times New Roman" w:hAnsi="Tahoma" w:cs="Tahoma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Bogdan</dc:creator>
  <cp:keywords/>
  <dc:description/>
  <cp:lastModifiedBy>Maria Bogdan</cp:lastModifiedBy>
  <cp:revision>2</cp:revision>
  <cp:lastPrinted>2022-09-27T07:43:00Z</cp:lastPrinted>
  <dcterms:created xsi:type="dcterms:W3CDTF">2022-09-27T07:45:00Z</dcterms:created>
  <dcterms:modified xsi:type="dcterms:W3CDTF">2022-09-27T07:45:00Z</dcterms:modified>
</cp:coreProperties>
</file>